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F15C47" w:rsidRDefault="00DB4D1F" w:rsidP="00997884">
      <w:pPr>
        <w:spacing w:after="0" w:line="240" w:lineRule="auto"/>
        <w:jc w:val="center"/>
        <w:rPr>
          <w:b/>
        </w:rPr>
      </w:pPr>
      <w:r w:rsidRPr="00F15C47">
        <w:rPr>
          <w:b/>
        </w:rPr>
        <w:t>Пояснительная записка</w:t>
      </w:r>
    </w:p>
    <w:p w:rsidR="00D10CF6" w:rsidRPr="00F15C47" w:rsidRDefault="00D10CF6" w:rsidP="00D10CF6">
      <w:pPr>
        <w:spacing w:after="0"/>
        <w:jc w:val="center"/>
        <w:rPr>
          <w:b/>
          <w:szCs w:val="28"/>
        </w:rPr>
      </w:pPr>
      <w:proofErr w:type="gramStart"/>
      <w:r w:rsidRPr="00F15C47">
        <w:rPr>
          <w:rFonts w:eastAsia="Times New Roman"/>
          <w:b/>
          <w:szCs w:val="28"/>
          <w:lang w:eastAsia="ru-RU"/>
        </w:rPr>
        <w:t xml:space="preserve">к проекту постановления </w:t>
      </w:r>
      <w:r w:rsidRPr="00F15C47">
        <w:rPr>
          <w:rFonts w:eastAsia="Times New Roman"/>
          <w:b/>
          <w:color w:val="000000"/>
          <w:szCs w:val="28"/>
          <w:lang w:eastAsia="ru-RU"/>
        </w:rPr>
        <w:t xml:space="preserve">администрации городского округа Кинель Самарской области </w:t>
      </w:r>
      <w:r w:rsidRPr="00F15C47">
        <w:rPr>
          <w:b/>
          <w:szCs w:val="28"/>
        </w:rPr>
        <w:t xml:space="preserve">«О внесении </w:t>
      </w:r>
      <w:r w:rsidR="00BC6CB4" w:rsidRPr="00F15C47">
        <w:rPr>
          <w:b/>
          <w:szCs w:val="28"/>
        </w:rPr>
        <w:t xml:space="preserve">изменений </w:t>
      </w:r>
      <w:r w:rsidR="00C078DD">
        <w:rPr>
          <w:b/>
          <w:szCs w:val="28"/>
        </w:rPr>
        <w:t xml:space="preserve">и дополнений </w:t>
      </w:r>
      <w:r w:rsidRPr="00F15C47">
        <w:rPr>
          <w:b/>
          <w:szCs w:val="28"/>
        </w:rPr>
        <w:t>в</w:t>
      </w:r>
      <w:r w:rsidR="00950C7A" w:rsidRPr="00F15C47">
        <w:rPr>
          <w:b/>
          <w:szCs w:val="28"/>
        </w:rPr>
        <w:t xml:space="preserve">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</w:t>
      </w:r>
      <w:r w:rsidRPr="00F15C47">
        <w:rPr>
          <w:b/>
          <w:szCs w:val="28"/>
        </w:rPr>
        <w:t xml:space="preserve"> постановление «Об утверждении Схемы размещения нестационарных торговых объектов на территории городского округа Кинель  Самарской области» </w:t>
      </w:r>
      <w:proofErr w:type="gramEnd"/>
    </w:p>
    <w:p w:rsidR="00D10CF6" w:rsidRPr="00F15C47" w:rsidRDefault="00D10CF6" w:rsidP="007E5510">
      <w:pPr>
        <w:spacing w:after="0" w:line="240" w:lineRule="auto"/>
        <w:jc w:val="center"/>
        <w:rPr>
          <w:b/>
          <w:szCs w:val="28"/>
        </w:rPr>
      </w:pPr>
      <w:r w:rsidRPr="00F15C47">
        <w:rPr>
          <w:b/>
          <w:szCs w:val="28"/>
        </w:rPr>
        <w:t xml:space="preserve">от 04 июня 2018г. № 1412 (в редакции от </w:t>
      </w:r>
      <w:r w:rsidR="000840FE" w:rsidRPr="00F15C47">
        <w:rPr>
          <w:b/>
          <w:szCs w:val="28"/>
        </w:rPr>
        <w:t>0</w:t>
      </w:r>
      <w:r w:rsidR="00C078DD">
        <w:rPr>
          <w:b/>
          <w:szCs w:val="28"/>
        </w:rPr>
        <w:t>5</w:t>
      </w:r>
      <w:r w:rsidR="000840FE" w:rsidRPr="00F15C47">
        <w:rPr>
          <w:b/>
          <w:szCs w:val="28"/>
        </w:rPr>
        <w:t xml:space="preserve"> ию</w:t>
      </w:r>
      <w:r w:rsidR="00C078DD">
        <w:rPr>
          <w:b/>
          <w:szCs w:val="28"/>
        </w:rPr>
        <w:t>л</w:t>
      </w:r>
      <w:r w:rsidR="000840FE" w:rsidRPr="00F15C47">
        <w:rPr>
          <w:b/>
          <w:szCs w:val="28"/>
        </w:rPr>
        <w:t>я 2022г</w:t>
      </w:r>
      <w:r w:rsidR="003678BC" w:rsidRPr="00F15C47">
        <w:rPr>
          <w:b/>
          <w:szCs w:val="28"/>
        </w:rPr>
        <w:t>.</w:t>
      </w:r>
      <w:r w:rsidRPr="00F15C47">
        <w:rPr>
          <w:b/>
          <w:szCs w:val="28"/>
        </w:rPr>
        <w:t>)».</w:t>
      </w:r>
    </w:p>
    <w:p w:rsidR="00950C7A" w:rsidRPr="00F15C47" w:rsidRDefault="00950C7A" w:rsidP="007E5510">
      <w:pPr>
        <w:spacing w:after="0" w:line="240" w:lineRule="auto"/>
        <w:jc w:val="center"/>
        <w:rPr>
          <w:b/>
          <w:szCs w:val="28"/>
        </w:rPr>
      </w:pPr>
    </w:p>
    <w:p w:rsidR="00B9225D" w:rsidRPr="00F15C47" w:rsidRDefault="00DB4D1F" w:rsidP="00950C7A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F15C47">
        <w:rPr>
          <w:szCs w:val="28"/>
        </w:rPr>
        <w:t xml:space="preserve">Проект постановления администрации городского округа Кинель Самарской области </w:t>
      </w:r>
      <w:r w:rsidR="00950C7A" w:rsidRPr="00F15C47">
        <w:rPr>
          <w:szCs w:val="28"/>
        </w:rPr>
        <w:t xml:space="preserve">«О внесении </w:t>
      </w:r>
      <w:r w:rsidR="00BC6CB4" w:rsidRPr="00F15C47">
        <w:rPr>
          <w:szCs w:val="28"/>
        </w:rPr>
        <w:t xml:space="preserve">изменений и </w:t>
      </w:r>
      <w:r w:rsidR="00317A86" w:rsidRPr="00F15C47">
        <w:rPr>
          <w:szCs w:val="28"/>
        </w:rPr>
        <w:t>дополнений</w:t>
      </w:r>
      <w:r w:rsidR="00950C7A" w:rsidRPr="00F15C47">
        <w:rPr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 редакции</w:t>
      </w:r>
      <w:proofErr w:type="gramEnd"/>
      <w:r w:rsidR="00950C7A" w:rsidRPr="00F15C47">
        <w:rPr>
          <w:szCs w:val="28"/>
        </w:rPr>
        <w:t xml:space="preserve"> от </w:t>
      </w:r>
      <w:r w:rsidR="000840FE" w:rsidRPr="00F15C47">
        <w:rPr>
          <w:color w:val="191919"/>
          <w:szCs w:val="28"/>
        </w:rPr>
        <w:t>0</w:t>
      </w:r>
      <w:r w:rsidR="00C078DD">
        <w:rPr>
          <w:color w:val="191919"/>
          <w:szCs w:val="28"/>
        </w:rPr>
        <w:t>5</w:t>
      </w:r>
      <w:r w:rsidR="000840FE" w:rsidRPr="00F15C47">
        <w:rPr>
          <w:color w:val="191919"/>
          <w:szCs w:val="28"/>
        </w:rPr>
        <w:t xml:space="preserve"> ию</w:t>
      </w:r>
      <w:r w:rsidR="00C078DD">
        <w:rPr>
          <w:color w:val="191919"/>
          <w:szCs w:val="28"/>
        </w:rPr>
        <w:t>л</w:t>
      </w:r>
      <w:r w:rsidR="000840FE" w:rsidRPr="00F15C47">
        <w:rPr>
          <w:color w:val="191919"/>
          <w:szCs w:val="28"/>
        </w:rPr>
        <w:t>я 2022г</w:t>
      </w:r>
      <w:r w:rsidR="003678BC" w:rsidRPr="00F15C47">
        <w:rPr>
          <w:color w:val="191919"/>
          <w:szCs w:val="28"/>
        </w:rPr>
        <w:t>.</w:t>
      </w:r>
      <w:r w:rsidR="00950C7A" w:rsidRPr="00F15C47">
        <w:rPr>
          <w:szCs w:val="28"/>
        </w:rPr>
        <w:t xml:space="preserve">)» </w:t>
      </w:r>
      <w:r w:rsidR="00B9225D" w:rsidRPr="00F15C47">
        <w:rPr>
          <w:szCs w:val="28"/>
        </w:rPr>
        <w:t xml:space="preserve">(далее – проект постановления) </w:t>
      </w:r>
      <w:r w:rsidR="00676F67" w:rsidRPr="00F15C47">
        <w:rPr>
          <w:szCs w:val="28"/>
        </w:rPr>
        <w:t xml:space="preserve">разработан в </w:t>
      </w:r>
      <w:r w:rsidR="00E25E86" w:rsidRPr="00F15C47">
        <w:rPr>
          <w:szCs w:val="28"/>
        </w:rPr>
        <w:t xml:space="preserve"> целях обеспечения реализации на территории городского округа Кинель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1A3C2D" w:rsidRDefault="001A3C2D" w:rsidP="001A3C2D">
      <w:pPr>
        <w:spacing w:after="158" w:line="240" w:lineRule="auto"/>
        <w:ind w:firstLine="708"/>
        <w:jc w:val="both"/>
        <w:rPr>
          <w:rFonts w:eastAsia="Times New Roman"/>
          <w:color w:val="333333"/>
          <w:lang w:eastAsia="ru-RU"/>
        </w:rPr>
      </w:pPr>
      <w:r w:rsidRPr="00F15C47">
        <w:rPr>
          <w:rFonts w:eastAsia="Times New Roman"/>
          <w:color w:val="333333"/>
          <w:lang w:eastAsia="ru-RU"/>
        </w:rPr>
        <w:t xml:space="preserve">Проектом постановления предусматривается внесение </w:t>
      </w:r>
      <w:r w:rsidR="00EF0CC7" w:rsidRPr="00F15C47">
        <w:rPr>
          <w:rFonts w:eastAsia="Times New Roman"/>
          <w:color w:val="333333"/>
          <w:lang w:eastAsia="ru-RU"/>
        </w:rPr>
        <w:t xml:space="preserve">изменений и </w:t>
      </w:r>
      <w:r w:rsidRPr="00F15C47">
        <w:rPr>
          <w:rFonts w:eastAsia="Times New Roman"/>
          <w:color w:val="333333"/>
          <w:lang w:eastAsia="ru-RU"/>
        </w:rPr>
        <w:t>дополнений   в Схему размещения нестационарных торговых объектов (далее – Схема НТО), в части приведения в соответствие объектов, находящихся в Схеме НТО.</w:t>
      </w:r>
    </w:p>
    <w:p w:rsidR="00626D12" w:rsidRPr="005D7BB5" w:rsidRDefault="00626D12" w:rsidP="00626D12">
      <w:pPr>
        <w:spacing w:after="158" w:line="240" w:lineRule="auto"/>
        <w:ind w:firstLine="708"/>
        <w:jc w:val="both"/>
        <w:rPr>
          <w:rFonts w:eastAsia="Times New Roman"/>
          <w:color w:val="333333"/>
          <w:lang w:eastAsia="ru-RU"/>
        </w:rPr>
      </w:pPr>
      <w:r w:rsidRPr="005D7BB5">
        <w:rPr>
          <w:rFonts w:eastAsia="Times New Roman"/>
          <w:color w:val="333333"/>
          <w:lang w:eastAsia="ru-RU"/>
        </w:rPr>
        <w:t>В администрацию городского округа Кинель Самарской области поступил</w:t>
      </w:r>
      <w:r>
        <w:rPr>
          <w:rFonts w:eastAsia="Times New Roman"/>
          <w:color w:val="333333"/>
          <w:lang w:eastAsia="ru-RU"/>
        </w:rPr>
        <w:t>о</w:t>
      </w:r>
      <w:r w:rsidRPr="005D7BB5">
        <w:rPr>
          <w:rFonts w:eastAsia="Times New Roman"/>
          <w:color w:val="333333"/>
          <w:lang w:eastAsia="ru-RU"/>
        </w:rPr>
        <w:t xml:space="preserve"> заявлени</w:t>
      </w:r>
      <w:r>
        <w:rPr>
          <w:rFonts w:eastAsia="Times New Roman"/>
          <w:color w:val="333333"/>
          <w:lang w:eastAsia="ru-RU"/>
        </w:rPr>
        <w:t>е</w:t>
      </w:r>
      <w:r w:rsidRPr="005D7BB5">
        <w:rPr>
          <w:rFonts w:eastAsia="Times New Roman"/>
          <w:color w:val="333333"/>
          <w:lang w:eastAsia="ru-RU"/>
        </w:rPr>
        <w:t xml:space="preserve"> от заинтересованн</w:t>
      </w:r>
      <w:r>
        <w:rPr>
          <w:rFonts w:eastAsia="Times New Roman"/>
          <w:color w:val="333333"/>
          <w:lang w:eastAsia="ru-RU"/>
        </w:rPr>
        <w:t>ого</w:t>
      </w:r>
      <w:r w:rsidRPr="005D7BB5">
        <w:rPr>
          <w:rFonts w:eastAsia="Times New Roman"/>
          <w:color w:val="333333"/>
          <w:lang w:eastAsia="ru-RU"/>
        </w:rPr>
        <w:t xml:space="preserve">  лиц</w:t>
      </w:r>
      <w:r>
        <w:rPr>
          <w:rFonts w:eastAsia="Times New Roman"/>
          <w:color w:val="333333"/>
          <w:lang w:eastAsia="ru-RU"/>
        </w:rPr>
        <w:t>а</w:t>
      </w:r>
      <w:r w:rsidRPr="005D7BB5">
        <w:rPr>
          <w:rFonts w:eastAsia="Times New Roman"/>
          <w:color w:val="333333"/>
          <w:lang w:eastAsia="ru-RU"/>
        </w:rPr>
        <w:t xml:space="preserve">, на </w:t>
      </w:r>
      <w:r>
        <w:rPr>
          <w:rFonts w:eastAsia="Times New Roman"/>
          <w:color w:val="333333"/>
          <w:lang w:eastAsia="ru-RU"/>
        </w:rPr>
        <w:t>внесение изменения в Схему  размещения</w:t>
      </w:r>
      <w:r w:rsidRPr="005D7BB5">
        <w:rPr>
          <w:rFonts w:eastAsia="Times New Roman"/>
          <w:color w:val="333333"/>
          <w:lang w:eastAsia="ru-RU"/>
        </w:rPr>
        <w:t xml:space="preserve"> нестационарных торговых объектов, расположенных на территории городского округа Кинель  Самарской области. Поскольку предлагаем</w:t>
      </w:r>
      <w:r>
        <w:rPr>
          <w:rFonts w:eastAsia="Times New Roman"/>
          <w:color w:val="333333"/>
          <w:lang w:eastAsia="ru-RU"/>
        </w:rPr>
        <w:t>ое</w:t>
      </w:r>
      <w:r w:rsidRPr="005D7BB5">
        <w:rPr>
          <w:rFonts w:eastAsia="Times New Roman"/>
          <w:color w:val="333333"/>
          <w:lang w:eastAsia="ru-RU"/>
        </w:rPr>
        <w:t xml:space="preserve"> </w:t>
      </w:r>
      <w:r>
        <w:rPr>
          <w:rFonts w:eastAsia="Times New Roman"/>
          <w:color w:val="333333"/>
          <w:lang w:eastAsia="ru-RU"/>
        </w:rPr>
        <w:t>дополнение</w:t>
      </w:r>
      <w:r w:rsidRPr="005D7BB5">
        <w:rPr>
          <w:rFonts w:eastAsia="Times New Roman"/>
          <w:color w:val="333333"/>
          <w:lang w:eastAsia="ru-RU"/>
        </w:rPr>
        <w:t xml:space="preserve"> не противоречит Приказу </w:t>
      </w:r>
      <w:proofErr w:type="spellStart"/>
      <w:r w:rsidRPr="005D7BB5">
        <w:rPr>
          <w:rFonts w:eastAsia="Times New Roman"/>
          <w:color w:val="333333"/>
          <w:lang w:eastAsia="ru-RU"/>
        </w:rPr>
        <w:t>Минпромторга</w:t>
      </w:r>
      <w:proofErr w:type="spellEnd"/>
      <w:r w:rsidRPr="005D7BB5">
        <w:rPr>
          <w:rFonts w:eastAsia="Times New Roman"/>
          <w:color w:val="333333"/>
          <w:lang w:eastAsia="ru-RU"/>
        </w:rPr>
        <w:t>, предлагается внести изменени</w:t>
      </w:r>
      <w:r>
        <w:rPr>
          <w:rFonts w:eastAsia="Times New Roman"/>
          <w:color w:val="333333"/>
          <w:lang w:eastAsia="ru-RU"/>
        </w:rPr>
        <w:t>я в Схему НТО</w:t>
      </w:r>
      <w:r w:rsidRPr="005D7BB5">
        <w:rPr>
          <w:rFonts w:eastAsia="Times New Roman"/>
          <w:color w:val="333333"/>
          <w:lang w:eastAsia="ru-RU"/>
        </w:rPr>
        <w:t xml:space="preserve"> со следующими описаниями: </w:t>
      </w:r>
    </w:p>
    <w:p w:rsidR="00626D12" w:rsidRPr="0047428B" w:rsidRDefault="00626D12" w:rsidP="00626D12">
      <w:pPr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47428B">
        <w:rPr>
          <w:rFonts w:eastAsia="Times New Roman"/>
          <w:color w:val="333333"/>
          <w:lang w:eastAsia="ru-RU"/>
        </w:rPr>
        <w:t xml:space="preserve">п. </w:t>
      </w:r>
      <w:r w:rsidR="00C46B31" w:rsidRPr="0047428B">
        <w:rPr>
          <w:rFonts w:eastAsia="Times New Roman"/>
          <w:color w:val="333333"/>
          <w:lang w:eastAsia="ru-RU"/>
        </w:rPr>
        <w:t>2.26</w:t>
      </w:r>
      <w:r w:rsidRPr="0047428B">
        <w:rPr>
          <w:rFonts w:eastAsia="Times New Roman"/>
          <w:color w:val="333333"/>
          <w:lang w:eastAsia="ru-RU"/>
        </w:rPr>
        <w:t>.</w:t>
      </w:r>
      <w:r w:rsidRPr="0047428B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r w:rsidR="00C46B31" w:rsidRPr="0047428B">
        <w:rPr>
          <w:color w:val="000000"/>
          <w:szCs w:val="28"/>
        </w:rPr>
        <w:t xml:space="preserve">п.г.т. Алексеевка, ул. Невская, в районе дома № 19 </w:t>
      </w:r>
    </w:p>
    <w:p w:rsidR="00626D12" w:rsidRPr="0047428B" w:rsidRDefault="00626D12" w:rsidP="00626D12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47428B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C46B31" w:rsidRPr="0047428B" w:rsidRDefault="00C46B31" w:rsidP="00C46B31">
      <w:pPr>
        <w:spacing w:after="0" w:line="240" w:lineRule="auto"/>
        <w:rPr>
          <w:color w:val="000000"/>
          <w:szCs w:val="28"/>
        </w:rPr>
      </w:pPr>
      <w:proofErr w:type="spellStart"/>
      <w:r w:rsidRPr="0047428B">
        <w:rPr>
          <w:color w:val="000000"/>
          <w:szCs w:val="28"/>
        </w:rPr>
        <w:t>н</w:t>
      </w:r>
      <w:proofErr w:type="spellEnd"/>
      <w:r w:rsidRPr="0047428B">
        <w:rPr>
          <w:color w:val="000000"/>
          <w:szCs w:val="28"/>
        </w:rPr>
        <w:t xml:space="preserve"> 1: X – 9469,72; Y – 7791,89</w:t>
      </w:r>
    </w:p>
    <w:p w:rsidR="00C46B31" w:rsidRPr="0047428B" w:rsidRDefault="00C46B31" w:rsidP="00C46B31">
      <w:pPr>
        <w:spacing w:after="0" w:line="240" w:lineRule="auto"/>
        <w:rPr>
          <w:color w:val="000000"/>
          <w:szCs w:val="28"/>
        </w:rPr>
      </w:pPr>
      <w:proofErr w:type="spellStart"/>
      <w:r w:rsidRPr="0047428B">
        <w:rPr>
          <w:color w:val="000000"/>
          <w:szCs w:val="28"/>
        </w:rPr>
        <w:t>н</w:t>
      </w:r>
      <w:proofErr w:type="spellEnd"/>
      <w:r w:rsidRPr="0047428B">
        <w:rPr>
          <w:color w:val="000000"/>
          <w:szCs w:val="28"/>
        </w:rPr>
        <w:t xml:space="preserve"> 2: X – 9465,90; Y – 7793,08</w:t>
      </w:r>
    </w:p>
    <w:p w:rsidR="00C46B31" w:rsidRPr="0047428B" w:rsidRDefault="00C46B31" w:rsidP="00C46B31">
      <w:pPr>
        <w:spacing w:after="0" w:line="240" w:lineRule="auto"/>
        <w:rPr>
          <w:color w:val="000000"/>
          <w:szCs w:val="28"/>
        </w:rPr>
      </w:pPr>
      <w:proofErr w:type="spellStart"/>
      <w:r w:rsidRPr="0047428B">
        <w:rPr>
          <w:color w:val="000000"/>
          <w:szCs w:val="28"/>
        </w:rPr>
        <w:t>н</w:t>
      </w:r>
      <w:proofErr w:type="spellEnd"/>
      <w:r w:rsidRPr="0047428B">
        <w:rPr>
          <w:color w:val="000000"/>
          <w:szCs w:val="28"/>
        </w:rPr>
        <w:t xml:space="preserve"> 3: X – 9465,30; Y – 7791,18</w:t>
      </w:r>
    </w:p>
    <w:p w:rsidR="00626D12" w:rsidRDefault="00C46B31" w:rsidP="00C46B31">
      <w:pPr>
        <w:spacing w:after="0" w:line="240" w:lineRule="auto"/>
        <w:rPr>
          <w:color w:val="000000"/>
          <w:szCs w:val="28"/>
        </w:rPr>
      </w:pPr>
      <w:proofErr w:type="spellStart"/>
      <w:r w:rsidRPr="0047428B">
        <w:rPr>
          <w:color w:val="000000"/>
          <w:szCs w:val="28"/>
        </w:rPr>
        <w:lastRenderedPageBreak/>
        <w:t>н</w:t>
      </w:r>
      <w:proofErr w:type="spellEnd"/>
      <w:r w:rsidRPr="0047428B">
        <w:rPr>
          <w:color w:val="000000"/>
          <w:szCs w:val="28"/>
        </w:rPr>
        <w:t xml:space="preserve"> 4: X – 9469,12; Y – 7789,98  </w:t>
      </w:r>
    </w:p>
    <w:p w:rsidR="0047428B" w:rsidRPr="0047428B" w:rsidRDefault="0047428B" w:rsidP="00C46B31">
      <w:pPr>
        <w:spacing w:after="0" w:line="240" w:lineRule="auto"/>
        <w:rPr>
          <w:color w:val="000000"/>
          <w:szCs w:val="28"/>
          <w:highlight w:val="yellow"/>
        </w:rPr>
      </w:pPr>
    </w:p>
    <w:p w:rsidR="00626D12" w:rsidRPr="0047428B" w:rsidRDefault="00626D12" w:rsidP="00626D12">
      <w:pPr>
        <w:spacing w:after="0" w:line="240" w:lineRule="auto"/>
        <w:rPr>
          <w:rFonts w:eastAsia="Times New Roman"/>
          <w:color w:val="333333"/>
          <w:lang w:eastAsia="ru-RU"/>
        </w:rPr>
      </w:pPr>
      <w:r w:rsidRPr="0047428B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 w:rsidR="0047428B" w:rsidRPr="0047428B">
        <w:rPr>
          <w:rFonts w:eastAsia="Times New Roman"/>
          <w:color w:val="333333"/>
          <w:lang w:eastAsia="ru-RU"/>
        </w:rPr>
        <w:t>2</w:t>
      </w:r>
      <w:r w:rsidRPr="0047428B">
        <w:rPr>
          <w:rFonts w:eastAsia="Times New Roman"/>
          <w:color w:val="333333"/>
          <w:lang w:eastAsia="ru-RU"/>
        </w:rPr>
        <w:t xml:space="preserve">0 кв.м. </w:t>
      </w:r>
    </w:p>
    <w:p w:rsidR="00626D12" w:rsidRPr="0047428B" w:rsidRDefault="00626D12" w:rsidP="00626D12">
      <w:pPr>
        <w:spacing w:after="0"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47428B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 w:rsidR="0047428B" w:rsidRPr="0047428B">
        <w:rPr>
          <w:rFonts w:ascii="SourceSansProRegular" w:eastAsia="Times New Roman" w:hAnsi="SourceSansProRegular" w:cs="Helvetica"/>
          <w:color w:val="333333"/>
          <w:lang w:eastAsia="ru-RU"/>
        </w:rPr>
        <w:t>Не п</w:t>
      </w:r>
      <w:r w:rsidRPr="0047428B">
        <w:rPr>
          <w:color w:val="000000"/>
          <w:szCs w:val="28"/>
        </w:rPr>
        <w:t>родовольственные товары</w:t>
      </w:r>
      <w:r w:rsidRPr="0047428B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(</w:t>
      </w:r>
      <w:r w:rsidR="0047428B" w:rsidRPr="0047428B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деревья хвойных пород</w:t>
      </w:r>
      <w:r w:rsidRPr="0047428B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).</w:t>
      </w:r>
    </w:p>
    <w:p w:rsidR="00626D12" w:rsidRPr="0047428B" w:rsidRDefault="00626D12" w:rsidP="00626D12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47428B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626D12" w:rsidRPr="0047428B" w:rsidRDefault="00626D12" w:rsidP="00626D12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47428B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сезонный. </w:t>
      </w:r>
    </w:p>
    <w:p w:rsidR="00626D12" w:rsidRDefault="00626D12" w:rsidP="00626D12">
      <w:pPr>
        <w:spacing w:after="0"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47428B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47428B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 w:rsidRPr="0047428B">
        <w:rPr>
          <w:color w:val="000000"/>
          <w:szCs w:val="28"/>
        </w:rPr>
        <w:t xml:space="preserve">с </w:t>
      </w:r>
      <w:r w:rsidR="0047428B" w:rsidRPr="0047428B">
        <w:rPr>
          <w:color w:val="000000"/>
          <w:szCs w:val="28"/>
        </w:rPr>
        <w:t>15</w:t>
      </w:r>
      <w:r w:rsidRPr="0047428B">
        <w:rPr>
          <w:color w:val="000000"/>
          <w:szCs w:val="28"/>
        </w:rPr>
        <w:t xml:space="preserve"> по 3</w:t>
      </w:r>
      <w:r w:rsidR="0047428B" w:rsidRPr="0047428B">
        <w:rPr>
          <w:color w:val="000000"/>
          <w:szCs w:val="28"/>
        </w:rPr>
        <w:t>1</w:t>
      </w:r>
      <w:r w:rsidRPr="0047428B">
        <w:rPr>
          <w:color w:val="000000"/>
          <w:szCs w:val="28"/>
        </w:rPr>
        <w:t xml:space="preserve"> </w:t>
      </w:r>
      <w:r w:rsidR="0047428B" w:rsidRPr="0047428B">
        <w:rPr>
          <w:color w:val="000000"/>
          <w:szCs w:val="28"/>
        </w:rPr>
        <w:t>декабря</w:t>
      </w:r>
      <w:r w:rsidRPr="0047428B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626D12" w:rsidRDefault="00626D12" w:rsidP="00626D12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</w:p>
    <w:p w:rsidR="0047428B" w:rsidRPr="005D7BB5" w:rsidRDefault="0047428B" w:rsidP="0047428B">
      <w:pPr>
        <w:spacing w:after="158" w:line="240" w:lineRule="auto"/>
        <w:ind w:firstLine="708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П</w:t>
      </w:r>
      <w:r w:rsidRPr="005D7BB5">
        <w:rPr>
          <w:rFonts w:eastAsia="Times New Roman"/>
          <w:color w:val="333333"/>
          <w:lang w:eastAsia="ru-RU"/>
        </w:rPr>
        <w:t>редлагается внести изменени</w:t>
      </w:r>
      <w:r>
        <w:rPr>
          <w:rFonts w:eastAsia="Times New Roman"/>
          <w:color w:val="333333"/>
          <w:lang w:eastAsia="ru-RU"/>
        </w:rPr>
        <w:t>я в Схему НТО</w:t>
      </w:r>
      <w:r w:rsidRPr="005D7BB5">
        <w:rPr>
          <w:rFonts w:eastAsia="Times New Roman"/>
          <w:color w:val="333333"/>
          <w:lang w:eastAsia="ru-RU"/>
        </w:rPr>
        <w:t xml:space="preserve"> со следующими описаниями: </w:t>
      </w:r>
    </w:p>
    <w:p w:rsidR="0047428B" w:rsidRPr="0047428B" w:rsidRDefault="0047428B" w:rsidP="0047428B">
      <w:pPr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47428B">
        <w:rPr>
          <w:rFonts w:eastAsia="Times New Roman"/>
          <w:color w:val="333333"/>
          <w:lang w:eastAsia="ru-RU"/>
        </w:rPr>
        <w:t xml:space="preserve">п. </w:t>
      </w:r>
      <w:r>
        <w:rPr>
          <w:rFonts w:eastAsia="Times New Roman"/>
          <w:color w:val="333333"/>
          <w:lang w:eastAsia="ru-RU"/>
        </w:rPr>
        <w:t>5.6</w:t>
      </w:r>
      <w:r w:rsidRPr="0047428B">
        <w:rPr>
          <w:rFonts w:eastAsia="Times New Roman"/>
          <w:color w:val="333333"/>
          <w:lang w:eastAsia="ru-RU"/>
        </w:rPr>
        <w:t>.</w:t>
      </w:r>
      <w:r w:rsidRPr="0047428B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r>
        <w:rPr>
          <w:color w:val="000000"/>
          <w:szCs w:val="28"/>
        </w:rPr>
        <w:t xml:space="preserve">г. Кинель, ул. </w:t>
      </w:r>
      <w:proofErr w:type="gramStart"/>
      <w:r>
        <w:rPr>
          <w:color w:val="000000"/>
          <w:szCs w:val="28"/>
        </w:rPr>
        <w:t>ульяновская</w:t>
      </w:r>
      <w:proofErr w:type="gramEnd"/>
      <w:r>
        <w:rPr>
          <w:color w:val="000000"/>
          <w:szCs w:val="28"/>
        </w:rPr>
        <w:t>, в районе дома № 26</w:t>
      </w:r>
    </w:p>
    <w:p w:rsidR="0047428B" w:rsidRPr="0047428B" w:rsidRDefault="0047428B" w:rsidP="0047428B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47428B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47428B" w:rsidRPr="0047428B" w:rsidRDefault="0047428B" w:rsidP="0047428B">
      <w:pPr>
        <w:spacing w:after="0" w:line="240" w:lineRule="auto"/>
        <w:rPr>
          <w:color w:val="000000"/>
          <w:szCs w:val="28"/>
        </w:rPr>
      </w:pPr>
      <w:proofErr w:type="spellStart"/>
      <w:r w:rsidRPr="0047428B">
        <w:rPr>
          <w:color w:val="000000"/>
          <w:szCs w:val="28"/>
        </w:rPr>
        <w:t>н</w:t>
      </w:r>
      <w:proofErr w:type="spellEnd"/>
      <w:r w:rsidRPr="0047428B">
        <w:rPr>
          <w:color w:val="000000"/>
          <w:szCs w:val="28"/>
        </w:rPr>
        <w:t xml:space="preserve"> 1: X – 390763,37;Y –2207040,10</w:t>
      </w:r>
    </w:p>
    <w:p w:rsidR="0047428B" w:rsidRPr="0047428B" w:rsidRDefault="0047428B" w:rsidP="0047428B">
      <w:pPr>
        <w:spacing w:after="0" w:line="240" w:lineRule="auto"/>
        <w:rPr>
          <w:color w:val="000000"/>
          <w:szCs w:val="28"/>
        </w:rPr>
      </w:pPr>
      <w:proofErr w:type="spellStart"/>
      <w:r w:rsidRPr="0047428B">
        <w:rPr>
          <w:color w:val="000000"/>
          <w:szCs w:val="28"/>
        </w:rPr>
        <w:t>н</w:t>
      </w:r>
      <w:proofErr w:type="spellEnd"/>
      <w:r w:rsidRPr="0047428B">
        <w:rPr>
          <w:color w:val="000000"/>
          <w:szCs w:val="28"/>
        </w:rPr>
        <w:t xml:space="preserve"> 2: X – 390762,23;Y –2207043,19</w:t>
      </w:r>
    </w:p>
    <w:p w:rsidR="0047428B" w:rsidRPr="0047428B" w:rsidRDefault="0047428B" w:rsidP="0047428B">
      <w:pPr>
        <w:spacing w:after="0" w:line="240" w:lineRule="auto"/>
        <w:rPr>
          <w:color w:val="000000"/>
          <w:szCs w:val="28"/>
        </w:rPr>
      </w:pPr>
      <w:proofErr w:type="spellStart"/>
      <w:r w:rsidRPr="0047428B">
        <w:rPr>
          <w:color w:val="000000"/>
          <w:szCs w:val="28"/>
        </w:rPr>
        <w:t>н</w:t>
      </w:r>
      <w:proofErr w:type="spellEnd"/>
      <w:r w:rsidRPr="0047428B">
        <w:rPr>
          <w:color w:val="000000"/>
          <w:szCs w:val="28"/>
        </w:rPr>
        <w:t xml:space="preserve"> 3: X – 390759,39;Y –2207042,16</w:t>
      </w:r>
    </w:p>
    <w:p w:rsidR="0047428B" w:rsidRDefault="0047428B" w:rsidP="0047428B">
      <w:pPr>
        <w:spacing w:after="0" w:line="240" w:lineRule="auto"/>
        <w:rPr>
          <w:color w:val="000000"/>
          <w:szCs w:val="28"/>
        </w:rPr>
      </w:pPr>
      <w:proofErr w:type="spellStart"/>
      <w:r w:rsidRPr="0047428B">
        <w:rPr>
          <w:color w:val="000000"/>
          <w:szCs w:val="28"/>
        </w:rPr>
        <w:t>н</w:t>
      </w:r>
      <w:proofErr w:type="spellEnd"/>
      <w:r w:rsidRPr="0047428B">
        <w:rPr>
          <w:color w:val="000000"/>
          <w:szCs w:val="28"/>
        </w:rPr>
        <w:t xml:space="preserve"> 4: X – 390760,51;Y – 2207039,10</w:t>
      </w:r>
    </w:p>
    <w:p w:rsidR="0047428B" w:rsidRPr="0047428B" w:rsidRDefault="0047428B" w:rsidP="0047428B">
      <w:pPr>
        <w:spacing w:after="0" w:line="240" w:lineRule="auto"/>
        <w:rPr>
          <w:color w:val="000000"/>
          <w:szCs w:val="28"/>
          <w:highlight w:val="yellow"/>
        </w:rPr>
      </w:pPr>
    </w:p>
    <w:p w:rsidR="0047428B" w:rsidRPr="0047428B" w:rsidRDefault="0047428B" w:rsidP="0047428B">
      <w:pPr>
        <w:spacing w:after="0" w:line="240" w:lineRule="auto"/>
        <w:rPr>
          <w:rFonts w:eastAsia="Times New Roman"/>
          <w:color w:val="333333"/>
          <w:lang w:eastAsia="ru-RU"/>
        </w:rPr>
      </w:pPr>
      <w:r w:rsidRPr="0047428B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>
        <w:rPr>
          <w:rFonts w:eastAsia="Times New Roman"/>
          <w:color w:val="333333"/>
          <w:lang w:eastAsia="ru-RU"/>
        </w:rPr>
        <w:t>1</w:t>
      </w:r>
      <w:r w:rsidRPr="0047428B">
        <w:rPr>
          <w:rFonts w:eastAsia="Times New Roman"/>
          <w:color w:val="333333"/>
          <w:lang w:eastAsia="ru-RU"/>
        </w:rPr>
        <w:t xml:space="preserve">0 кв.м. </w:t>
      </w:r>
    </w:p>
    <w:p w:rsidR="0047428B" w:rsidRPr="0047428B" w:rsidRDefault="0047428B" w:rsidP="0047428B">
      <w:pPr>
        <w:spacing w:after="0"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47428B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Бытовое обслуживание</w:t>
      </w:r>
      <w:r w:rsidRPr="0047428B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47428B" w:rsidRPr="0047428B" w:rsidRDefault="0047428B" w:rsidP="0047428B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47428B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47428B" w:rsidRPr="0047428B" w:rsidRDefault="0047428B" w:rsidP="0047428B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47428B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47428B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47428B" w:rsidRDefault="0047428B" w:rsidP="0047428B">
      <w:pPr>
        <w:spacing w:after="0"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47428B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47428B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>
        <w:rPr>
          <w:color w:val="000000"/>
          <w:szCs w:val="28"/>
        </w:rPr>
        <w:t>на 5 лет.</w:t>
      </w:r>
    </w:p>
    <w:p w:rsidR="0047428B" w:rsidRDefault="0047428B" w:rsidP="00626D12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 </w:t>
      </w:r>
    </w:p>
    <w:p w:rsidR="00626D12" w:rsidRDefault="00626D12" w:rsidP="00626D12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47428B">
        <w:rPr>
          <w:rFonts w:eastAsia="Times New Roman"/>
          <w:color w:val="333333"/>
          <w:szCs w:val="28"/>
          <w:lang w:eastAsia="ru-RU"/>
        </w:rPr>
        <w:t xml:space="preserve">Предлагается изменить статус места расположения НТО и срок размещения НТО   в пунктах </w:t>
      </w:r>
      <w:r w:rsidR="0047428B" w:rsidRPr="0047428B">
        <w:rPr>
          <w:rFonts w:eastAsia="Times New Roman"/>
          <w:color w:val="333333"/>
          <w:szCs w:val="28"/>
          <w:lang w:eastAsia="ru-RU"/>
        </w:rPr>
        <w:t>1.84, 3.1, 3.2, 3.3, 3.4</w:t>
      </w:r>
      <w:r w:rsidRPr="0047428B">
        <w:rPr>
          <w:rFonts w:eastAsia="Times New Roman"/>
          <w:color w:val="333333"/>
          <w:szCs w:val="28"/>
          <w:lang w:eastAsia="ru-RU"/>
        </w:rPr>
        <w:t>, в связи с продлением срока действия договора, используя преимущественное право, без проведения аукциона.</w:t>
      </w:r>
    </w:p>
    <w:p w:rsidR="00C46B31" w:rsidRDefault="00C46B31" w:rsidP="00C46B31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47428B">
        <w:rPr>
          <w:rFonts w:eastAsia="Times New Roman"/>
          <w:color w:val="333333"/>
          <w:szCs w:val="28"/>
          <w:lang w:eastAsia="ru-RU"/>
        </w:rPr>
        <w:t>Предлагается изменить статус места расположения НТО и срок размещения НТО   в пункт</w:t>
      </w:r>
      <w:r w:rsidR="0047428B" w:rsidRPr="0047428B">
        <w:rPr>
          <w:rFonts w:eastAsia="Times New Roman"/>
          <w:color w:val="333333"/>
          <w:szCs w:val="28"/>
          <w:lang w:eastAsia="ru-RU"/>
        </w:rPr>
        <w:t>е</w:t>
      </w:r>
      <w:r w:rsidRPr="0047428B">
        <w:rPr>
          <w:rFonts w:eastAsia="Times New Roman"/>
          <w:color w:val="333333"/>
          <w:szCs w:val="28"/>
          <w:lang w:eastAsia="ru-RU"/>
        </w:rPr>
        <w:t xml:space="preserve"> </w:t>
      </w:r>
      <w:r w:rsidR="0047428B" w:rsidRPr="0047428B">
        <w:rPr>
          <w:rFonts w:eastAsia="Times New Roman"/>
          <w:color w:val="333333"/>
          <w:szCs w:val="28"/>
          <w:lang w:eastAsia="ru-RU"/>
        </w:rPr>
        <w:t xml:space="preserve">2.8 </w:t>
      </w:r>
      <w:r w:rsidRPr="0047428B">
        <w:rPr>
          <w:rFonts w:eastAsia="Times New Roman"/>
          <w:color w:val="333333"/>
          <w:szCs w:val="28"/>
          <w:lang w:eastAsia="ru-RU"/>
        </w:rPr>
        <w:t xml:space="preserve"> </w:t>
      </w:r>
      <w:r w:rsidR="0047428B" w:rsidRPr="0047428B">
        <w:rPr>
          <w:rFonts w:eastAsia="Times New Roman"/>
          <w:color w:val="333333"/>
          <w:szCs w:val="28"/>
          <w:lang w:eastAsia="ru-RU"/>
        </w:rPr>
        <w:t xml:space="preserve">в связи с расторжением </w:t>
      </w:r>
      <w:r w:rsidRPr="0047428B">
        <w:rPr>
          <w:rFonts w:eastAsia="Times New Roman"/>
          <w:color w:val="333333"/>
          <w:szCs w:val="28"/>
          <w:lang w:eastAsia="ru-RU"/>
        </w:rPr>
        <w:t xml:space="preserve"> договора на размещение нестационарных торговых объектов.</w:t>
      </w:r>
    </w:p>
    <w:p w:rsidR="00BC71E3" w:rsidRDefault="008B06FF" w:rsidP="00277979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F15C47">
        <w:rPr>
          <w:rFonts w:eastAsia="Times New Roman"/>
          <w:color w:val="333333"/>
          <w:szCs w:val="28"/>
          <w:lang w:eastAsia="ru-RU"/>
        </w:rPr>
        <w:t>Предлагается изменить статус места расположения НТО и срок размещения НТО   в пунктах</w:t>
      </w:r>
      <w:r w:rsidR="00135444" w:rsidRPr="00F15C47">
        <w:rPr>
          <w:rFonts w:eastAsia="Times New Roman"/>
          <w:color w:val="333333"/>
          <w:szCs w:val="28"/>
          <w:lang w:eastAsia="ru-RU"/>
        </w:rPr>
        <w:t xml:space="preserve"> </w:t>
      </w:r>
      <w:r w:rsidR="00D064B9">
        <w:rPr>
          <w:color w:val="333333"/>
          <w:szCs w:val="28"/>
        </w:rPr>
        <w:t>1.21, 1.79, 1.101</w:t>
      </w:r>
      <w:r w:rsidR="000840FE" w:rsidRPr="00F15C47">
        <w:rPr>
          <w:color w:val="333333"/>
          <w:szCs w:val="28"/>
        </w:rPr>
        <w:t xml:space="preserve"> </w:t>
      </w:r>
      <w:r w:rsidR="00135444" w:rsidRPr="00F15C47">
        <w:rPr>
          <w:rFonts w:eastAsia="Times New Roman"/>
          <w:color w:val="333333"/>
          <w:szCs w:val="28"/>
          <w:lang w:eastAsia="ru-RU"/>
        </w:rPr>
        <w:t>на основании заключенных договоров на право размещения НТО по результатам проведенных аукционов.</w:t>
      </w:r>
    </w:p>
    <w:p w:rsidR="00546DFC" w:rsidRPr="00F15C47" w:rsidRDefault="00546DFC" w:rsidP="00277979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</w:p>
    <w:p w:rsidR="00277979" w:rsidRPr="00F15C47" w:rsidRDefault="0047428B" w:rsidP="00277979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П</w:t>
      </w:r>
      <w:r w:rsidR="00277979" w:rsidRPr="00F15C47">
        <w:rPr>
          <w:rFonts w:eastAsia="Times New Roman"/>
          <w:color w:val="333333"/>
          <w:szCs w:val="28"/>
          <w:lang w:eastAsia="ru-RU"/>
        </w:rPr>
        <w:t xml:space="preserve">редлагается исключить из Схемы размещения нестационарных торговых объектов пункт </w:t>
      </w:r>
      <w:r>
        <w:rPr>
          <w:rFonts w:eastAsia="Times New Roman"/>
          <w:color w:val="333333"/>
          <w:szCs w:val="28"/>
          <w:lang w:eastAsia="ru-RU"/>
        </w:rPr>
        <w:t>5.2</w:t>
      </w:r>
      <w:r w:rsidR="00467666" w:rsidRPr="00F15C47">
        <w:rPr>
          <w:rFonts w:eastAsia="Times New Roman"/>
          <w:color w:val="333333"/>
          <w:szCs w:val="28"/>
          <w:lang w:eastAsia="ru-RU"/>
        </w:rPr>
        <w:t>.</w:t>
      </w:r>
    </w:p>
    <w:p w:rsidR="00F15C47" w:rsidRPr="00F15C47" w:rsidRDefault="00F15C47" w:rsidP="00F15C47">
      <w:pPr>
        <w:spacing w:after="0" w:line="240" w:lineRule="auto"/>
        <w:jc w:val="both"/>
        <w:rPr>
          <w:rFonts w:eastAsia="Times New Roman"/>
          <w:color w:val="333333"/>
          <w:szCs w:val="28"/>
          <w:lang w:eastAsia="ru-RU"/>
        </w:rPr>
      </w:pPr>
    </w:p>
    <w:p w:rsidR="001A3C2D" w:rsidRPr="00F15C47" w:rsidRDefault="001A3C2D" w:rsidP="00277979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F15C47">
        <w:rPr>
          <w:rFonts w:eastAsia="Times New Roman"/>
          <w:color w:val="333333"/>
          <w:szCs w:val="28"/>
          <w:lang w:eastAsia="ru-RU"/>
        </w:rPr>
        <w:t xml:space="preserve">Дополнения соответствуют Приказу </w:t>
      </w:r>
      <w:proofErr w:type="spellStart"/>
      <w:r w:rsidRPr="00F15C47">
        <w:rPr>
          <w:rFonts w:eastAsia="Times New Roman"/>
          <w:color w:val="333333"/>
          <w:lang w:eastAsia="ru-RU"/>
        </w:rPr>
        <w:t>Минпромторга</w:t>
      </w:r>
      <w:proofErr w:type="spellEnd"/>
      <w:r w:rsidRPr="00F15C47">
        <w:rPr>
          <w:rFonts w:eastAsia="Times New Roman"/>
          <w:color w:val="333333"/>
          <w:szCs w:val="28"/>
          <w:lang w:eastAsia="ru-RU"/>
        </w:rPr>
        <w:t xml:space="preserve"> № </w:t>
      </w:r>
      <w:r w:rsidRPr="00F15C47">
        <w:rPr>
          <w:rFonts w:eastAsia="Times New Roman"/>
          <w:color w:val="333333"/>
          <w:lang w:eastAsia="ru-RU"/>
        </w:rPr>
        <w:t xml:space="preserve">87-П от 17.06.2019 г. «Об утверждении Порядка разработки и утверждения схемы </w:t>
      </w:r>
      <w:r w:rsidRPr="00F15C47">
        <w:rPr>
          <w:rFonts w:eastAsia="Times New Roman"/>
          <w:color w:val="333333"/>
          <w:lang w:eastAsia="ru-RU"/>
        </w:rPr>
        <w:lastRenderedPageBreak/>
        <w:t>размещения нестационарных торговых объектов на территории Самарской области»</w:t>
      </w:r>
      <w:r w:rsidRPr="00F15C47">
        <w:rPr>
          <w:rFonts w:eastAsia="Times New Roman"/>
          <w:color w:val="333333"/>
          <w:szCs w:val="28"/>
          <w:lang w:eastAsia="ru-RU"/>
        </w:rPr>
        <w:t xml:space="preserve">.      </w:t>
      </w:r>
    </w:p>
    <w:p w:rsidR="001A3C2D" w:rsidRPr="00F15C47" w:rsidRDefault="001A3C2D" w:rsidP="00277979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F15C47">
        <w:rPr>
          <w:rFonts w:eastAsia="Times New Roman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Кинель,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Кинель для целей размещения НТО.  </w:t>
      </w:r>
    </w:p>
    <w:p w:rsidR="001A3C2D" w:rsidRPr="00F15C47" w:rsidRDefault="001A3C2D" w:rsidP="001A3C2D">
      <w:pPr>
        <w:spacing w:after="169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A3C2D" w:rsidRPr="00F15C47" w:rsidTr="00BE1A93">
        <w:trPr>
          <w:trHeight w:val="353"/>
        </w:trPr>
        <w:tc>
          <w:tcPr>
            <w:tcW w:w="4077" w:type="dxa"/>
            <w:shd w:val="clear" w:color="auto" w:fill="auto"/>
          </w:tcPr>
          <w:p w:rsidR="002C543B" w:rsidRPr="00F15C47" w:rsidRDefault="002C543B" w:rsidP="002C543B">
            <w:pPr>
              <w:spacing w:after="0" w:line="240" w:lineRule="auto"/>
              <w:rPr>
                <w:color w:val="000000"/>
                <w:szCs w:val="28"/>
              </w:rPr>
            </w:pPr>
            <w:r w:rsidRPr="00F15C47">
              <w:rPr>
                <w:szCs w:val="28"/>
              </w:rPr>
              <w:t>Руководитель</w:t>
            </w:r>
            <w:r w:rsidRPr="00F15C47">
              <w:rPr>
                <w:color w:val="000000"/>
                <w:szCs w:val="28"/>
              </w:rPr>
              <w:t xml:space="preserve"> управления </w:t>
            </w:r>
          </w:p>
          <w:p w:rsidR="002C543B" w:rsidRPr="00F15C47" w:rsidRDefault="002C543B" w:rsidP="002C543B">
            <w:pPr>
              <w:spacing w:after="0" w:line="240" w:lineRule="auto"/>
              <w:rPr>
                <w:szCs w:val="28"/>
              </w:rPr>
            </w:pPr>
            <w:r w:rsidRPr="00F15C47">
              <w:rPr>
                <w:szCs w:val="28"/>
              </w:rPr>
              <w:t xml:space="preserve">экономического развития, </w:t>
            </w:r>
          </w:p>
          <w:p w:rsidR="001A3C2D" w:rsidRPr="00F15C47" w:rsidRDefault="002C543B" w:rsidP="002C543B">
            <w:pPr>
              <w:spacing w:after="0" w:line="240" w:lineRule="auto"/>
              <w:ind w:right="-108"/>
              <w:rPr>
                <w:szCs w:val="28"/>
              </w:rPr>
            </w:pPr>
            <w:r w:rsidRPr="00F15C47"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1A3C2D" w:rsidRPr="00F15C47" w:rsidRDefault="001A3C2D" w:rsidP="00281AC4">
            <w:pPr>
              <w:spacing w:after="0" w:line="240" w:lineRule="auto"/>
              <w:ind w:right="-108"/>
              <w:jc w:val="right"/>
              <w:rPr>
                <w:szCs w:val="28"/>
              </w:rPr>
            </w:pPr>
          </w:p>
          <w:p w:rsidR="001A3C2D" w:rsidRPr="00F15C47" w:rsidRDefault="001D569D" w:rsidP="00F07280">
            <w:pPr>
              <w:spacing w:after="0" w:line="240" w:lineRule="auto"/>
              <w:ind w:right="-108"/>
              <w:jc w:val="right"/>
              <w:rPr>
                <w:szCs w:val="28"/>
              </w:rPr>
            </w:pPr>
            <w:r w:rsidRPr="00F15C47">
              <w:rPr>
                <w:szCs w:val="28"/>
              </w:rPr>
              <w:t xml:space="preserve">    </w:t>
            </w:r>
            <w:r w:rsidR="001A3C2D" w:rsidRPr="00F15C47">
              <w:rPr>
                <w:szCs w:val="28"/>
              </w:rPr>
              <w:t xml:space="preserve"> </w:t>
            </w:r>
            <w:r w:rsidRPr="00F15C47">
              <w:rPr>
                <w:szCs w:val="28"/>
              </w:rPr>
              <w:t xml:space="preserve">     </w:t>
            </w:r>
            <w:r w:rsidR="00F07280" w:rsidRPr="00F15C47">
              <w:rPr>
                <w:szCs w:val="28"/>
              </w:rPr>
              <w:t>А.Н. Индерейкин</w:t>
            </w:r>
          </w:p>
        </w:tc>
      </w:tr>
    </w:tbl>
    <w:p w:rsidR="00744A46" w:rsidRPr="00F15C47" w:rsidRDefault="00744A46" w:rsidP="001A3C2D">
      <w:pPr>
        <w:spacing w:after="158" w:line="240" w:lineRule="auto"/>
        <w:ind w:firstLine="708"/>
        <w:jc w:val="both"/>
        <w:rPr>
          <w:szCs w:val="28"/>
        </w:rPr>
      </w:pPr>
    </w:p>
    <w:sectPr w:rsidR="00744A46" w:rsidRPr="00F15C47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05BED"/>
    <w:rsid w:val="00012990"/>
    <w:rsid w:val="000345D7"/>
    <w:rsid w:val="00041726"/>
    <w:rsid w:val="00045C96"/>
    <w:rsid w:val="00054707"/>
    <w:rsid w:val="00057C0A"/>
    <w:rsid w:val="00057D6B"/>
    <w:rsid w:val="00072CDE"/>
    <w:rsid w:val="0007348A"/>
    <w:rsid w:val="000742D7"/>
    <w:rsid w:val="00077D88"/>
    <w:rsid w:val="00080B83"/>
    <w:rsid w:val="000840FE"/>
    <w:rsid w:val="00084FC5"/>
    <w:rsid w:val="00087DB7"/>
    <w:rsid w:val="00094763"/>
    <w:rsid w:val="0009627E"/>
    <w:rsid w:val="00097731"/>
    <w:rsid w:val="000A4904"/>
    <w:rsid w:val="000C5FCC"/>
    <w:rsid w:val="000E2497"/>
    <w:rsid w:val="000E57F3"/>
    <w:rsid w:val="0011065B"/>
    <w:rsid w:val="00124372"/>
    <w:rsid w:val="0012601B"/>
    <w:rsid w:val="00135444"/>
    <w:rsid w:val="00140E75"/>
    <w:rsid w:val="00141284"/>
    <w:rsid w:val="0014435D"/>
    <w:rsid w:val="00166702"/>
    <w:rsid w:val="00186624"/>
    <w:rsid w:val="00194E5F"/>
    <w:rsid w:val="001974EF"/>
    <w:rsid w:val="001A3C2D"/>
    <w:rsid w:val="001B22C8"/>
    <w:rsid w:val="001C31CD"/>
    <w:rsid w:val="001C4392"/>
    <w:rsid w:val="001C5B25"/>
    <w:rsid w:val="001D0353"/>
    <w:rsid w:val="001D569D"/>
    <w:rsid w:val="001E4F55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4276F"/>
    <w:rsid w:val="002557D9"/>
    <w:rsid w:val="00273CEF"/>
    <w:rsid w:val="00277057"/>
    <w:rsid w:val="00277979"/>
    <w:rsid w:val="00281AC4"/>
    <w:rsid w:val="00286A5B"/>
    <w:rsid w:val="0029335B"/>
    <w:rsid w:val="002A33D0"/>
    <w:rsid w:val="002B09F4"/>
    <w:rsid w:val="002B1E8E"/>
    <w:rsid w:val="002B7856"/>
    <w:rsid w:val="002C543B"/>
    <w:rsid w:val="002D270D"/>
    <w:rsid w:val="002E2A5E"/>
    <w:rsid w:val="002F432C"/>
    <w:rsid w:val="00300FB8"/>
    <w:rsid w:val="00300FCC"/>
    <w:rsid w:val="00302CBC"/>
    <w:rsid w:val="00304EF2"/>
    <w:rsid w:val="00310532"/>
    <w:rsid w:val="003147B7"/>
    <w:rsid w:val="00317A86"/>
    <w:rsid w:val="00321AF3"/>
    <w:rsid w:val="00325AEA"/>
    <w:rsid w:val="00346D3C"/>
    <w:rsid w:val="00361942"/>
    <w:rsid w:val="00367261"/>
    <w:rsid w:val="003678BC"/>
    <w:rsid w:val="003843B8"/>
    <w:rsid w:val="00385DD6"/>
    <w:rsid w:val="00386E51"/>
    <w:rsid w:val="00395EB9"/>
    <w:rsid w:val="003A046B"/>
    <w:rsid w:val="003A65D9"/>
    <w:rsid w:val="003B0641"/>
    <w:rsid w:val="003B4826"/>
    <w:rsid w:val="003B77F8"/>
    <w:rsid w:val="003C26EA"/>
    <w:rsid w:val="003C281D"/>
    <w:rsid w:val="003C3805"/>
    <w:rsid w:val="003C394C"/>
    <w:rsid w:val="003C6C2A"/>
    <w:rsid w:val="003D020E"/>
    <w:rsid w:val="003D308A"/>
    <w:rsid w:val="003D7B58"/>
    <w:rsid w:val="003E385B"/>
    <w:rsid w:val="003E3DB3"/>
    <w:rsid w:val="003F2329"/>
    <w:rsid w:val="004069C6"/>
    <w:rsid w:val="00407A5A"/>
    <w:rsid w:val="00416530"/>
    <w:rsid w:val="00436B7E"/>
    <w:rsid w:val="004428F6"/>
    <w:rsid w:val="00443725"/>
    <w:rsid w:val="00446ABC"/>
    <w:rsid w:val="00447F88"/>
    <w:rsid w:val="00453518"/>
    <w:rsid w:val="00461DE8"/>
    <w:rsid w:val="00464553"/>
    <w:rsid w:val="00467666"/>
    <w:rsid w:val="0047037C"/>
    <w:rsid w:val="0047428B"/>
    <w:rsid w:val="00480749"/>
    <w:rsid w:val="004826F5"/>
    <w:rsid w:val="004A0953"/>
    <w:rsid w:val="004A56BB"/>
    <w:rsid w:val="004D0EDD"/>
    <w:rsid w:val="004D75FB"/>
    <w:rsid w:val="004E0631"/>
    <w:rsid w:val="00514899"/>
    <w:rsid w:val="00514BEC"/>
    <w:rsid w:val="00517A65"/>
    <w:rsid w:val="00521863"/>
    <w:rsid w:val="00530E32"/>
    <w:rsid w:val="0053485D"/>
    <w:rsid w:val="0054545E"/>
    <w:rsid w:val="00546DFC"/>
    <w:rsid w:val="005516A4"/>
    <w:rsid w:val="00565CD6"/>
    <w:rsid w:val="005744AA"/>
    <w:rsid w:val="0059010B"/>
    <w:rsid w:val="005912D3"/>
    <w:rsid w:val="005957FD"/>
    <w:rsid w:val="0059653F"/>
    <w:rsid w:val="005974A1"/>
    <w:rsid w:val="005A1DA2"/>
    <w:rsid w:val="005A74B3"/>
    <w:rsid w:val="005B50D3"/>
    <w:rsid w:val="005D1AE7"/>
    <w:rsid w:val="005D7BB5"/>
    <w:rsid w:val="005F085A"/>
    <w:rsid w:val="00604765"/>
    <w:rsid w:val="00606CA8"/>
    <w:rsid w:val="00607EF0"/>
    <w:rsid w:val="00617EA7"/>
    <w:rsid w:val="00624D54"/>
    <w:rsid w:val="006269A5"/>
    <w:rsid w:val="00626D12"/>
    <w:rsid w:val="0064280F"/>
    <w:rsid w:val="00650A2D"/>
    <w:rsid w:val="00657FC2"/>
    <w:rsid w:val="00665748"/>
    <w:rsid w:val="00673B0B"/>
    <w:rsid w:val="00676F67"/>
    <w:rsid w:val="006A1BEC"/>
    <w:rsid w:val="006A1EBC"/>
    <w:rsid w:val="006A2107"/>
    <w:rsid w:val="006A3769"/>
    <w:rsid w:val="006A7820"/>
    <w:rsid w:val="006C6B77"/>
    <w:rsid w:val="006D1BCE"/>
    <w:rsid w:val="006D4530"/>
    <w:rsid w:val="006E00DA"/>
    <w:rsid w:val="006E4422"/>
    <w:rsid w:val="006E4C78"/>
    <w:rsid w:val="006F07E5"/>
    <w:rsid w:val="006F12CD"/>
    <w:rsid w:val="007070C5"/>
    <w:rsid w:val="00713938"/>
    <w:rsid w:val="00727686"/>
    <w:rsid w:val="00744A46"/>
    <w:rsid w:val="00751C67"/>
    <w:rsid w:val="00751CAD"/>
    <w:rsid w:val="00754119"/>
    <w:rsid w:val="00754C67"/>
    <w:rsid w:val="00762CA0"/>
    <w:rsid w:val="007849FA"/>
    <w:rsid w:val="007A78C1"/>
    <w:rsid w:val="007B0A13"/>
    <w:rsid w:val="007B1ECF"/>
    <w:rsid w:val="007C49AE"/>
    <w:rsid w:val="007D1979"/>
    <w:rsid w:val="007D63DF"/>
    <w:rsid w:val="007E1981"/>
    <w:rsid w:val="007E5256"/>
    <w:rsid w:val="007E5510"/>
    <w:rsid w:val="007F6E3F"/>
    <w:rsid w:val="0080269D"/>
    <w:rsid w:val="00806948"/>
    <w:rsid w:val="00814789"/>
    <w:rsid w:val="00814B9A"/>
    <w:rsid w:val="00833682"/>
    <w:rsid w:val="00840387"/>
    <w:rsid w:val="0084198F"/>
    <w:rsid w:val="00851E82"/>
    <w:rsid w:val="00855B51"/>
    <w:rsid w:val="00862B7D"/>
    <w:rsid w:val="00870C62"/>
    <w:rsid w:val="00872CA4"/>
    <w:rsid w:val="0087348E"/>
    <w:rsid w:val="008844E2"/>
    <w:rsid w:val="008864A4"/>
    <w:rsid w:val="00886749"/>
    <w:rsid w:val="00890181"/>
    <w:rsid w:val="0089470B"/>
    <w:rsid w:val="0089719A"/>
    <w:rsid w:val="00897A6D"/>
    <w:rsid w:val="008B06FF"/>
    <w:rsid w:val="008B0901"/>
    <w:rsid w:val="008B3D8F"/>
    <w:rsid w:val="008B5FD1"/>
    <w:rsid w:val="008C230F"/>
    <w:rsid w:val="008D1128"/>
    <w:rsid w:val="008D3C3F"/>
    <w:rsid w:val="008E100A"/>
    <w:rsid w:val="009035F5"/>
    <w:rsid w:val="00950C7A"/>
    <w:rsid w:val="00965A7A"/>
    <w:rsid w:val="009745CB"/>
    <w:rsid w:val="009807F6"/>
    <w:rsid w:val="00981244"/>
    <w:rsid w:val="00997884"/>
    <w:rsid w:val="009E3DC8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450A8"/>
    <w:rsid w:val="00A52E2D"/>
    <w:rsid w:val="00A54AF8"/>
    <w:rsid w:val="00A56E32"/>
    <w:rsid w:val="00A6227E"/>
    <w:rsid w:val="00A643BC"/>
    <w:rsid w:val="00A75EC4"/>
    <w:rsid w:val="00A917AE"/>
    <w:rsid w:val="00A97806"/>
    <w:rsid w:val="00AA12C8"/>
    <w:rsid w:val="00AA337A"/>
    <w:rsid w:val="00AA3ED0"/>
    <w:rsid w:val="00AA4F55"/>
    <w:rsid w:val="00AB12F4"/>
    <w:rsid w:val="00AF27A3"/>
    <w:rsid w:val="00AF5902"/>
    <w:rsid w:val="00AF78B3"/>
    <w:rsid w:val="00B111CB"/>
    <w:rsid w:val="00B12926"/>
    <w:rsid w:val="00B138CF"/>
    <w:rsid w:val="00B20511"/>
    <w:rsid w:val="00B23206"/>
    <w:rsid w:val="00B27D55"/>
    <w:rsid w:val="00B35E75"/>
    <w:rsid w:val="00B53B62"/>
    <w:rsid w:val="00B56A84"/>
    <w:rsid w:val="00B61BFB"/>
    <w:rsid w:val="00B62C3E"/>
    <w:rsid w:val="00B6605E"/>
    <w:rsid w:val="00B91E35"/>
    <w:rsid w:val="00B9225D"/>
    <w:rsid w:val="00B96EB5"/>
    <w:rsid w:val="00BB5A36"/>
    <w:rsid w:val="00BC6CB4"/>
    <w:rsid w:val="00BC71E3"/>
    <w:rsid w:val="00BE30C9"/>
    <w:rsid w:val="00BE30FF"/>
    <w:rsid w:val="00BE391E"/>
    <w:rsid w:val="00BE4D46"/>
    <w:rsid w:val="00BF68DA"/>
    <w:rsid w:val="00C02E6C"/>
    <w:rsid w:val="00C078DD"/>
    <w:rsid w:val="00C0799A"/>
    <w:rsid w:val="00C07B55"/>
    <w:rsid w:val="00C33597"/>
    <w:rsid w:val="00C35F02"/>
    <w:rsid w:val="00C4577C"/>
    <w:rsid w:val="00C46B31"/>
    <w:rsid w:val="00C91E65"/>
    <w:rsid w:val="00C9330C"/>
    <w:rsid w:val="00C94EC3"/>
    <w:rsid w:val="00C963DE"/>
    <w:rsid w:val="00C96851"/>
    <w:rsid w:val="00C9704F"/>
    <w:rsid w:val="00CA7733"/>
    <w:rsid w:val="00CB20EE"/>
    <w:rsid w:val="00CB6280"/>
    <w:rsid w:val="00CE3F9F"/>
    <w:rsid w:val="00CE4640"/>
    <w:rsid w:val="00D064B9"/>
    <w:rsid w:val="00D10CF6"/>
    <w:rsid w:val="00D22584"/>
    <w:rsid w:val="00D230B1"/>
    <w:rsid w:val="00D23C0D"/>
    <w:rsid w:val="00D2756D"/>
    <w:rsid w:val="00D30518"/>
    <w:rsid w:val="00D3252A"/>
    <w:rsid w:val="00D35C57"/>
    <w:rsid w:val="00D36203"/>
    <w:rsid w:val="00D363FF"/>
    <w:rsid w:val="00D45193"/>
    <w:rsid w:val="00D51DD9"/>
    <w:rsid w:val="00D563CB"/>
    <w:rsid w:val="00D56A6D"/>
    <w:rsid w:val="00D61458"/>
    <w:rsid w:val="00D64EC1"/>
    <w:rsid w:val="00D70B5A"/>
    <w:rsid w:val="00D74FD8"/>
    <w:rsid w:val="00D76DD4"/>
    <w:rsid w:val="00D904AC"/>
    <w:rsid w:val="00DB4D1F"/>
    <w:rsid w:val="00DB543A"/>
    <w:rsid w:val="00DB6F52"/>
    <w:rsid w:val="00DF652A"/>
    <w:rsid w:val="00DF72C8"/>
    <w:rsid w:val="00E03C80"/>
    <w:rsid w:val="00E10116"/>
    <w:rsid w:val="00E1085D"/>
    <w:rsid w:val="00E25E86"/>
    <w:rsid w:val="00E27EBF"/>
    <w:rsid w:val="00E27FF4"/>
    <w:rsid w:val="00E41412"/>
    <w:rsid w:val="00E52BAC"/>
    <w:rsid w:val="00E64D3F"/>
    <w:rsid w:val="00E66DC5"/>
    <w:rsid w:val="00E7362B"/>
    <w:rsid w:val="00E81185"/>
    <w:rsid w:val="00E81E53"/>
    <w:rsid w:val="00E83540"/>
    <w:rsid w:val="00E84599"/>
    <w:rsid w:val="00E8474C"/>
    <w:rsid w:val="00E84E4A"/>
    <w:rsid w:val="00E85C5D"/>
    <w:rsid w:val="00E8694E"/>
    <w:rsid w:val="00E93BB6"/>
    <w:rsid w:val="00E96C55"/>
    <w:rsid w:val="00ED1808"/>
    <w:rsid w:val="00EE2969"/>
    <w:rsid w:val="00EE349B"/>
    <w:rsid w:val="00EF0CC7"/>
    <w:rsid w:val="00F02CE8"/>
    <w:rsid w:val="00F0331C"/>
    <w:rsid w:val="00F03D67"/>
    <w:rsid w:val="00F07280"/>
    <w:rsid w:val="00F1439B"/>
    <w:rsid w:val="00F15C47"/>
    <w:rsid w:val="00F22B0E"/>
    <w:rsid w:val="00F23A49"/>
    <w:rsid w:val="00F62B22"/>
    <w:rsid w:val="00F63533"/>
    <w:rsid w:val="00F76865"/>
    <w:rsid w:val="00F869F4"/>
    <w:rsid w:val="00F92D7D"/>
    <w:rsid w:val="00FA3139"/>
    <w:rsid w:val="00FA526D"/>
    <w:rsid w:val="00FD5538"/>
    <w:rsid w:val="00FF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CAD9-E593-41EA-A9FB-55019E9D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166</cp:revision>
  <cp:lastPrinted>2022-05-24T09:48:00Z</cp:lastPrinted>
  <dcterms:created xsi:type="dcterms:W3CDTF">2016-10-21T07:37:00Z</dcterms:created>
  <dcterms:modified xsi:type="dcterms:W3CDTF">2022-08-10T07:49:00Z</dcterms:modified>
</cp:coreProperties>
</file>